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8A" w:rsidRPr="0055168A" w:rsidRDefault="0055168A" w:rsidP="0055168A">
      <w:pPr>
        <w:spacing w:after="0" w:line="240" w:lineRule="auto"/>
        <w:jc w:val="center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ПРЕДЛОЖЕНИЕ</w:t>
      </w:r>
    </w:p>
    <w:p w:rsidR="0055168A" w:rsidRPr="0055168A" w:rsidRDefault="0055168A" w:rsidP="0055168A">
      <w:pPr>
        <w:spacing w:after="0" w:line="240" w:lineRule="auto"/>
        <w:jc w:val="center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ЗА ИЗМЕНЕНИЕ НА ОПЕРАТИВНА ПРОГРАМА „ТЕХНИЧЕСКА АПОМОЩ”</w:t>
      </w:r>
    </w:p>
    <w:p w:rsidR="0055168A" w:rsidRPr="0055168A" w:rsidRDefault="0055168A" w:rsidP="0055168A">
      <w:pPr>
        <w:spacing w:after="0" w:line="240" w:lineRule="auto"/>
        <w:jc w:val="center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Ноември, 2012 г.</w:t>
      </w:r>
    </w:p>
    <w:p w:rsidR="0055168A" w:rsidRPr="0055168A" w:rsidRDefault="0055168A" w:rsidP="0055168A">
      <w:pPr>
        <w:spacing w:after="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Към 02 ноември 2012 г. беше извършен анализ относно изпълнението на Оперативна програма „Техническа помощ” (ОПТП) към 31.12.2013 г.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При извършването на анализа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  <w:lang w:val="ru-RU"/>
        </w:rPr>
        <w:t xml:space="preserve"> 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(</w:t>
      </w:r>
      <w:r w:rsidRPr="0055168A">
        <w:rPr>
          <w:rFonts w:ascii="Trebuchet MS" w:eastAsia="Times New Roman" w:hAnsi="Trebuchet MS" w:cs="Arial"/>
          <w:bCs/>
          <w:i/>
          <w:iCs/>
          <w:sz w:val="24"/>
          <w:szCs w:val="20"/>
        </w:rPr>
        <w:t>Приложение 1)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бяха взети предвид данните относно изразходваните средства по ОПТП по приключили проекти, данните относно изпълнението на текущите проекти, финансирани по ОПТП, към 31.10.2012 г. (договорени и реално изплатени средства по проектите, спестен ресурс от неизпълнението на някои дейности, икономии, реализирани при провеждането на обществени поръчки и др.), както и индикативните годишни работни програми на ОПТП за 2012 и 2013 г.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Бяха съобразени и следните предложения за определяне на нови конкретни бенефициенти по ОПТП:</w:t>
      </w:r>
    </w:p>
    <w:p w:rsidR="0055168A" w:rsidRPr="0055168A" w:rsidRDefault="0055168A" w:rsidP="0055168A">
      <w:pPr>
        <w:spacing w:after="120" w:line="240" w:lineRule="auto"/>
        <w:ind w:firstLine="720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1. На 10.09.2012 г. в Управляващия орган (УО) на ОПТП постъпи предложение от Националното сдружение на общините в Република България (НСОРБ), изготвено след провеждането на редица срещи между УО на ОПТП и НСОРБ в периода юли-септември 2012 г., на които са обсъждани въпроси, свързани с идентифицирани от НСОРБ проблемни области при изпълнението от общините на проекти, финансирани от Структурните фондове и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Кохезионния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фонд на ЕС (СКФ).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В писмото на НСОРБ до УО на ОПТП се разяснява, че сдружението провежда целенасочена политика за подпомагане на членовете си с цел успешното усвояване на средствата от СКФ. Като част от тази дейност през 2012 г. е изготвен анализ на изпълнението на общинските проекти, при който е оценен напредъкът на изпълняваните от общините проекти по отделните програми. В резултат на анализа ясно са откроени следните проблемни области на местно ниво, преодоляването на които е от съществено значение както за развитието на капацитета за разработване на проектите, така и за повишаване на ефективността при тяхното управление и изпълнение: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Констатирана е необходимост от въвеждането в общините на информационни системи за електронно управление и изпълнение на проекти, финансирани от СКФ;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Идентифицирана е необходимостта от цялостен анализ на резултатите от изпълнените от общините проекти, тяхната адекватност и приноса им за постигане на стратегическите приоритети на общините, реалната стойност на изразходваните средства, оценка на съотношението вложен ресурс към постигнати резултати, както и разработването на тематични помагала по общи за общините теми;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Отчетена е и необходимостта от консултативно подпомагане на общините във връзка със стартиралата подготовка за програмен период 2014-2020 г. за постигане на програмна, административна и проектна готовност за него.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lastRenderedPageBreak/>
        <w:t xml:space="preserve">Предложението на НСОРБ съдържа проектна идея за финансирането от ОПТП на определени дейности с потенциален бенефициент НСОРБ.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Дейностите, които са идентифицирани като особено важни и ще допринесат за подобряване на усвояването на средствата от СКФ през настоящия и следващия програмни периоди са свързани основно с осигуряването на ефективност и ефикасност при разработването, управлението и изпълнението от общините на проекти, финансирани по СКФ.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Индикативният бюджет за реализирането на дейностите е около 8 млн. лв.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УО на ОПТП счита, че идентифицираните от НСОРБ дейности са допустими за финансиране по ОПТП в рамките на Приоритетна ос 1 „Подпомагане реализирането на дейностите на структурите на централно ниво; мерки за изграждане на капацитет на институциите, работещи по Структурните фондове”, като в тази ос бъде създадена нова мярка на подкрепа 10 „Подкрепа на общините за разработване, управление и изпълнение на проекти, финансирани по СКФ” с бенефициент НСОРБ (</w:t>
      </w:r>
      <w:r w:rsidRPr="0055168A">
        <w:rPr>
          <w:rFonts w:ascii="Trebuchet MS" w:eastAsia="Times New Roman" w:hAnsi="Trebuchet MS" w:cs="Arial"/>
          <w:bCs/>
          <w:i/>
          <w:iCs/>
          <w:sz w:val="24"/>
          <w:szCs w:val="20"/>
        </w:rPr>
        <w:t>Приложение 2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).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В тази връзка УО на ОПТП е предприел необходимите действия за създаването на нова мярка на подкрепа в рамките на Приоритетна ос 1 и определянето на НСОРБ за конкретен бенефициент по ОПТП.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ind w:firstLine="720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2. На 02.11.2012 г. в УО на ОПТП постъпи предложение от дирекция „Финанси на реалния сектор” в Министерството на финансите, изготвено след провеждането на среща между УО на ОПТП и представители на дирекцията в края на месец октомври 2012 г.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На срещата са обсъдени възможностите за финансиране на част от дейностите на дирекцията, свързани с прилагането на режима по държавните помощи.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Съгласно чл. 22 от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Устройствения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правилник на Министерството на финансите, дирекция „Финанси на реалния сектор”: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осъществява наблюдението, координацията и взаимодействието с Европейската комисия в областта на държавните помощи, като изготвя позиции, проекти и становища по предложения за промени в законодателството в областта на държавните помощи;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приема, разглежда и оценява уведомленията за държавна помощ, изготвени от администраторите на помощ, за съответствие със законодателството в областта на държавните помощи, като ги препраща до Европейската комисия, и изготвя становища относно държавните помощи, попадащи в обхвата на груповото освобождаване, както и относно минималните помощи;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извършва оценка на максималния интензитет на регионалната помощ и на специфичния местен обхват на районите в Република България, приемливи за регионална помощ, и представя на Европейската комисия уведомление за регионалната карта на държавните помощи, предварително съгласувана с министъра на регионалното развитие и благоустройството.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lastRenderedPageBreak/>
        <w:t>Както беше разяснено на посочената по-горе среща през 2012 г. Европейската комисия инициира мащабна процедура за модернизация в областта на държавните помощи. Същата е обвързана с изпълнението на Стратегията „Европа 2020” и обхваща процедурни и същностни промени в областта, в това число и сериозна ревизия на връзката между режима по държавните помощи и финансирането със средства от фондовете на ЕС. В хода на модернизацията ЕК поставя акцент не само върху процедурното съответствие на мерките за помощ, а и върху икономическата им същност, целите и постигнатите ефекти. С оглед на това се очаква режимът по държавните помощи да претърпи известни изменения, които увеличават отговорностите на органите на национално ниво.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Взаимоотношенията на Министерството на финансите със субектите, предоставящи държавна помощ, обхващат и Управляващите органи и Междинните звена на оперативните програми, тъй като за целите на режима по държавните помощи средствата от Европейския съюз се приравняват на държавен ресурс и се подчиняват на правилата в областта.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В последните години, с развитие на практиката по оперативните програми и с увеличаване на размера на средствата за разпределяне по схемите, са очертани няколко тематични области, в които са налице рискови места (критични моменти) от гледна точка на прилагането на правилата в областта на държавните помощи в контекста на програмите и мерките, финансирани със средства от СКФ и са идентифицирани сфери на дейност, в които трябва да се положат допълнителни усилия за привеждане на системата на държавните помощи в адекватно състояние. 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С оглед на това, Министерството на финансите идентифицира цели и дейности, които следва да бъдат реализирани в разумен срок, за да бъде подобрено правоприлагането в областта на държавните помощи на национално и регионално ниво и да бъдат минимизирани рисковете и системните несъвършенства при усвояване на средства от СКФ, както следва: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Извършване на детайлен анализ на практиката при разработване на мерки по програмите, финансирани със средства от СКФ, за да бъдат идентифицирани проблемните области по прилагането на режима по държавните помощи, и да бъдат предложени мерки за тяхното преодоляване. Мотив за това е опитът на органа за наблюдение по държавните помощи при оценка на представяните схеми за помощ и индивидуални мерки. Преобладаващият брой схеми се нуждаят от множество корекции и същите биват връщани за доработка на администратора, за да се достигне до съвместимост с режима по държавните помощи. Това се отнася, както до схемите за минимална помощ, така и за мерките в обхвата на Общия регламент за групово освобождаване и подлежащите на нотификация мерки;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Разработване на тематични методически указания за УО и МЗ, в качеството им на администратори на помощ, за прилагането на режима в областта на държавните помощи при дизайн на мерки за помощ, за изчисляване на интензитета на подпомагане, както и за осъществяване на контрола върху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кумулирането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на средства от различни източници;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Изграждане на подходяща система за контрол по предоставянето и усвояването на държавни помощи в рамките на мерките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съ-финансирани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lastRenderedPageBreak/>
        <w:t xml:space="preserve">от СКФ. Липсата на доказана и работеща система за контрол в областта на държавните помощи, която да отразява същностните рискове и критичните места на режима, а не само формалното изпълнение на определени условия, е системна грешка в областта. Следва да бъде разработена единна процедура за осъществяване на контрол по държавните помощи на всички етапи – предварителен, текущ и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последващ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, която да отразява специфичните функции и правилата за дейността на компетентните структури - управляващи, договарящи и контролиращи звена, както и да се разработи единна правна рамка в съответствие със Закона за държавните помощи, съобразена с функциите на контролиращите звена;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Укрепване на капацитета на звеното, което осъществява функциите по чл. 5, ал. 1 и 2 от Закона за държавните помощи - Дирекция „Финанси на реалния сектор” в Министерството на финансите по успоредното прилагане на режима в областта на държавните помощи, в това число и при финансирането със средства от СКФ и финансовото моделиране на схемите, като приоритетен механизъм за държавна/общинска намеса след 2013 г. В Тази връзка е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дентифицирана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необходимосттта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за служителите на национално ниво да бъде осъществено провеждане на конкретни тясно насочени и планирани обучения, семинари, работни срещи, конференции, проучване на добри практики и обмен на опит в областта на държавните помощи със сходни институции от държавите-членки по отношение на предоставянето на безвъзмездна помощ със средства от СКФ, а също така и други подходящи мерки за укрепване на капацитета на експертите по държавни помощи чрез срочно (вкл. почасово) ангажиране на допълнителен персонал, който да работи приоритетно по оценка на мерките,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съ-финансирани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от СКФ. Укрепването на капацитета, повишаването и засилването на мотивацията, ефективността и качеството при изпълнението на задълженията на звеното за наблюдение и координация на държавните помощи имат за цел и да намалят текучеството на квалифицирани и опитни  служители;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Повишаване на капацитета на експертите по държавните помощи в УО, МЗ за прилагане на режима и законодателството в областта, изграждане на капацитет в структурите, където такъв липсва. Това ще допринесе за въвеждането и прилагането на практика на механизми за изпълнение на Предварителна условност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No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5 по начина, по който е дефинирана от Европейската комисия във връзка с изработването на Договора за партньорство на Република България за програмен период 2014-2020 г. Осигуряването на практическо обучение чрез семинари и експертни форуми има за цел да усъвършенства компетенциите на УО и МЗ, въвлечени в процеса по съблюдаване на националното и европейското законодателство в областта на държавните помощи при финансирането от СКФ. 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Осигуряване на консултантски услуги и специализирана експертиза от външни експерти в областта на държавните помощи във връзка с анализ и оценка на национално значими проекти, финансирани със средства от СКФ, разработването на проекти за промяна на националната нормативна 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lastRenderedPageBreak/>
        <w:t>база, изготвяне на методики и ръководства в областта на държавните помощи в полза на УО и МЗ;</w:t>
      </w:r>
    </w:p>
    <w:p w:rsidR="0055168A" w:rsidRPr="0055168A" w:rsidRDefault="0055168A" w:rsidP="0055168A">
      <w:pPr>
        <w:numPr>
          <w:ilvl w:val="0"/>
          <w:numId w:val="1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Провеждане на широка информационна кампания за достигане на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разпознаваемост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на режима по държавните помощи в контекста на финансирането от СКФ. Подобряването на обществената осведоменост е от изключителна важност, не само за да гарантира, че режимът е познат на администраторите и бенефициентите на помощ, а и за да за намаляване на количеството нарушения при реализиране на проекти, финансирани от СКФ, респективно да се подобри усвояването на средствата.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Целевите групи, идентифицирани като адресати на гореизложените дейности, обхващат служители на дирекция „Финанси на реалния сектор”, служители на  УО и МЗ, както и на администрациите, част от които са тези звена, служители на Агенцията за държавна финансова инспекция и ИА „Одит на средствата от ЕС”, регионалните и местни власти.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Предложението на дирекция „Финанси на реалния сектор” в Министерството на финансите съдържа и прогнозен бюджет и финансова обосновка на необходимите средства по дейностите, които ще бъдат включени евентуално в бъдещ проект, като общата сума на тези средства възлиза на 2 070 200,00 лв.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УО на ОПТП счита, че описаните в предложението дейности са допустими за финансиране по ОПТП в рамките на Приоритетна ос 1 „Подпомагане реализирането на дейностите на структурите на централно ниво; мерки за изграждане на капацитет на институциите, работещи по Структурните фондове” като в тази ос бъде създадена нова мярка на подкрепа 11 „Подобряване на прилагането на правилата за държавните помощи във връзка с усвояването на средствата от СКФ” с бенефициент дирекция „Финанси на реалния сектор” в Министерството на финансите (</w:t>
      </w:r>
      <w:r w:rsidRPr="0055168A">
        <w:rPr>
          <w:rFonts w:ascii="Trebuchet MS" w:eastAsia="Times New Roman" w:hAnsi="Trebuchet MS" w:cs="Arial"/>
          <w:bCs/>
          <w:i/>
          <w:iCs/>
          <w:sz w:val="24"/>
          <w:szCs w:val="20"/>
        </w:rPr>
        <w:t>Приложение 2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).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Данните относно прогнозния размер на договорените средства към края на програмен период 2007-2013 показват, че средствата по Приоритетна ос 1 на ОПТП няма да бъдат достатъчни за реализирането на предлаганите от НСОРБ и дирекция „Финанси на реалния сектор в Министерство на финансите проекти. За осигуряването на финансов ресурс за изпълнението им, както и с оглед оптимизиране на бюджета на ОПТП и осигуряване на условия за договаряне на този бюджет в максимален размер, е </w:t>
      </w:r>
      <w:r w:rsidRPr="0055168A">
        <w:rPr>
          <w:rFonts w:ascii="Trebuchet MS" w:eastAsia="Times New Roman" w:hAnsi="Trebuchet MS" w:cs="Arial"/>
          <w:b/>
          <w:bCs/>
          <w:iCs/>
          <w:sz w:val="24"/>
          <w:szCs w:val="20"/>
          <w:u w:val="single"/>
        </w:rPr>
        <w:t xml:space="preserve">необходимо прехвърлянето на средства </w:t>
      </w:r>
      <w:r w:rsidRPr="0055168A">
        <w:rPr>
          <w:rFonts w:ascii="Trebuchet MS" w:eastAsia="Times New Roman" w:hAnsi="Trebuchet MS" w:cs="Arial"/>
          <w:b/>
          <w:bCs/>
          <w:iCs/>
          <w:color w:val="000000"/>
          <w:sz w:val="24"/>
          <w:szCs w:val="20"/>
          <w:u w:val="single"/>
        </w:rPr>
        <w:t>от Приоритетни оси 2 и 3 в Приоритетна ос 1</w:t>
      </w:r>
      <w:r w:rsidRPr="0055168A"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  <w:t>, както следва:</w:t>
      </w:r>
    </w:p>
    <w:p w:rsidR="0055168A" w:rsidRPr="0055168A" w:rsidRDefault="0055168A" w:rsidP="0055168A">
      <w:pPr>
        <w:numPr>
          <w:ilvl w:val="0"/>
          <w:numId w:val="2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  <w:t xml:space="preserve">Прехвърляне на средства в размер на 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7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 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151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 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887,77 лв</w:t>
      </w:r>
      <w:r w:rsidRPr="0055168A">
        <w:rPr>
          <w:rFonts w:ascii="Times New Roman" w:eastAsia="Times New Roman" w:hAnsi="Times New Roman" w:cs="Times New Roman"/>
          <w:sz w:val="24"/>
          <w:szCs w:val="20"/>
          <w:lang w:val="ru-RU"/>
        </w:rPr>
        <w:t>.</w:t>
      </w:r>
      <w:r w:rsidRPr="0055168A"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  <w:t>. от Приоритетна ос 2 в Приоритетна ос 1;</w:t>
      </w:r>
    </w:p>
    <w:p w:rsidR="0055168A" w:rsidRPr="0055168A" w:rsidRDefault="0055168A" w:rsidP="0055168A">
      <w:pPr>
        <w:numPr>
          <w:ilvl w:val="0"/>
          <w:numId w:val="2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  <w:t xml:space="preserve">Прехвърляне на средства в размер на 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1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 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885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en-GB"/>
        </w:rPr>
        <w:t> </w:t>
      </w:r>
      <w:r w:rsidRPr="0055168A">
        <w:rPr>
          <w:rFonts w:ascii="Times New Roman" w:eastAsia="Times New Roman" w:hAnsi="Times New Roman" w:cs="Times New Roman"/>
          <w:b/>
          <w:sz w:val="24"/>
          <w:szCs w:val="20"/>
          <w:lang w:val="ru-RU"/>
        </w:rPr>
        <w:t>704,45 лв</w:t>
      </w:r>
      <w:r w:rsidRPr="0055168A">
        <w:rPr>
          <w:rFonts w:ascii="Times New Roman" w:eastAsia="Times New Roman" w:hAnsi="Times New Roman" w:cs="Times New Roman"/>
          <w:sz w:val="24"/>
          <w:szCs w:val="20"/>
          <w:lang w:val="ru-RU"/>
        </w:rPr>
        <w:t>.</w:t>
      </w:r>
      <w:r w:rsidRPr="0055168A">
        <w:rPr>
          <w:rFonts w:ascii="Trebuchet MS" w:eastAsia="Times New Roman" w:hAnsi="Trebuchet MS" w:cs="Arial"/>
          <w:bCs/>
          <w:iCs/>
          <w:color w:val="000000"/>
          <w:sz w:val="24"/>
          <w:szCs w:val="20"/>
        </w:rPr>
        <w:t>от Приоритетна ос 3 в Приоритетна ос 1.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На следващия Комитет за наблюдение на ОПТП, който ще се проведе на 28.11.2012 г., УО на ОПТП ще внесе 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  <w:u w:val="single"/>
        </w:rPr>
        <w:t>предложение за изменения на ОПТП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, като 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lastRenderedPageBreak/>
        <w:t xml:space="preserve">най–същественото изменение е именно </w:t>
      </w:r>
      <w:r w:rsidRPr="0055168A">
        <w:rPr>
          <w:rFonts w:ascii="Trebuchet MS" w:eastAsia="Times New Roman" w:hAnsi="Trebuchet MS" w:cs="Arial"/>
          <w:b/>
          <w:bCs/>
          <w:iCs/>
          <w:sz w:val="24"/>
          <w:szCs w:val="20"/>
        </w:rPr>
        <w:t>прехвърлянето на средства между приоритетите оси</w:t>
      </w: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. При извършването на изменения в програмния документ ще бъдат отразени и всички останали промени, свързани с:</w:t>
      </w:r>
    </w:p>
    <w:p w:rsidR="0055168A" w:rsidRPr="0055168A" w:rsidRDefault="0055168A" w:rsidP="0055168A">
      <w:pPr>
        <w:numPr>
          <w:ilvl w:val="0"/>
          <w:numId w:val="2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осъществените структурни промени по отношение на Управляващия орган и основните бенефициенти по програмата – Централното координационно звено, Централният информационен офис, </w:t>
      </w:r>
      <w:proofErr w:type="spellStart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Одитният</w:t>
      </w:r>
      <w:proofErr w:type="spellEnd"/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 орган;</w:t>
      </w:r>
    </w:p>
    <w:p w:rsidR="0055168A" w:rsidRPr="0055168A" w:rsidRDefault="0055168A" w:rsidP="0055168A">
      <w:pPr>
        <w:numPr>
          <w:ilvl w:val="0"/>
          <w:numId w:val="2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>определянето на нови бенефициенти по Приоритетна ос 1: дирекция АФКОС в Министерството на вътрешните работи, Агенцията по обществени поръчки, Държавната агенция за закрила на детето, Националното сдружение на общините в Република България и Дирекция „Финанси на реалния сектор” в Министерство на финансите;</w:t>
      </w:r>
    </w:p>
    <w:p w:rsidR="0055168A" w:rsidRPr="0055168A" w:rsidRDefault="0055168A" w:rsidP="0055168A">
      <w:pPr>
        <w:numPr>
          <w:ilvl w:val="0"/>
          <w:numId w:val="2"/>
        </w:num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t xml:space="preserve">определянето на нови бенефициенти по Приоритетна ос 3, мярка на подкрепа 3 - </w:t>
      </w:r>
      <w:r w:rsidRPr="0055168A">
        <w:rPr>
          <w:rFonts w:ascii="Trebuchet MS" w:eastAsia="Times New Roman" w:hAnsi="Trebuchet MS" w:cs="Arial"/>
          <w:sz w:val="24"/>
          <w:szCs w:val="20"/>
          <w:lang w:eastAsia="pl-PL"/>
        </w:rPr>
        <w:t>общините, на чиято територия са административните центрове на 28-те области в България (в партньорство с организации, които са приемни структури на офиси от информационната мрежа „Европа директно”, други общини, областни администрации и неправителствени организации с опит в предоставянето на информация за европейските политики).</w:t>
      </w:r>
    </w:p>
    <w:p w:rsidR="0055168A" w:rsidRPr="0055168A" w:rsidRDefault="0055168A" w:rsidP="0055168A">
      <w:pPr>
        <w:spacing w:after="120" w:line="240" w:lineRule="auto"/>
        <w:jc w:val="both"/>
        <w:rPr>
          <w:rFonts w:ascii="Trebuchet MS" w:eastAsia="Times New Roman" w:hAnsi="Trebuchet MS" w:cs="Arial"/>
          <w:bCs/>
          <w:iCs/>
          <w:sz w:val="24"/>
          <w:szCs w:val="20"/>
        </w:rPr>
      </w:pPr>
    </w:p>
    <w:p w:rsidR="00A613D0" w:rsidRDefault="0055168A" w:rsidP="0055168A">
      <w:r w:rsidRPr="0055168A">
        <w:rPr>
          <w:rFonts w:ascii="Trebuchet MS" w:eastAsia="Times New Roman" w:hAnsi="Trebuchet MS" w:cs="Arial"/>
          <w:bCs/>
          <w:iCs/>
          <w:sz w:val="24"/>
          <w:szCs w:val="20"/>
        </w:rPr>
        <w:br w:type="page"/>
      </w:r>
      <w:bookmarkStart w:id="0" w:name="_GoBack"/>
      <w:bookmarkEnd w:id="0"/>
    </w:p>
    <w:sectPr w:rsidR="00A61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D0828"/>
    <w:multiLevelType w:val="hybridMultilevel"/>
    <w:tmpl w:val="3C60A4DE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6E107F"/>
    <w:multiLevelType w:val="hybridMultilevel"/>
    <w:tmpl w:val="05B07CAA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8A"/>
    <w:rsid w:val="0055168A"/>
    <w:rsid w:val="00A6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Митрева</dc:creator>
  <cp:lastModifiedBy>Гергана Митрева</cp:lastModifiedBy>
  <cp:revision>2</cp:revision>
  <dcterms:created xsi:type="dcterms:W3CDTF">2012-11-07T14:59:00Z</dcterms:created>
  <dcterms:modified xsi:type="dcterms:W3CDTF">2012-11-07T14:59:00Z</dcterms:modified>
</cp:coreProperties>
</file>